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5B182873" w:rsidR="0090696E" w:rsidRPr="00F80A6E" w:rsidRDefault="003E0E68"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Project Risk Assessment</w:t>
      </w:r>
    </w:p>
    <w:p w14:paraId="3CE44974" w14:textId="77777777" w:rsidR="00E4104F" w:rsidRDefault="00E4104F" w:rsidP="00E4104F">
      <w:pPr>
        <w:pStyle w:val="NormalWeb"/>
      </w:pPr>
      <w:r>
        <w:t>Project risk assessment is a multi-faceted discipline that addresses the identification, measurement, and mitigation of risks in diverse project environments. Research across the construction and international project domains highlights several key insights and methodologies for managing project risk effectively:</w:t>
      </w:r>
    </w:p>
    <w:p w14:paraId="1CE2BCC9" w14:textId="663CCD92" w:rsidR="00E4104F" w:rsidRDefault="00E4104F" w:rsidP="00E4104F">
      <w:pPr>
        <w:pStyle w:val="NormalWeb"/>
        <w:numPr>
          <w:ilvl w:val="0"/>
          <w:numId w:val="7"/>
        </w:numPr>
      </w:pPr>
      <w:r>
        <w:rPr>
          <w:rStyle w:val="Strong"/>
          <w:rFonts w:eastAsiaTheme="majorEastAsia"/>
        </w:rPr>
        <w:t>Project Complexity and Risk</w:t>
      </w:r>
      <w:r>
        <w:t xml:space="preserve"> (</w:t>
      </w:r>
      <w:hyperlink r:id="rId7" w:history="1">
        <w:r w:rsidRPr="00A433C1">
          <w:rPr>
            <w:rStyle w:val="Hyperlink"/>
          </w:rPr>
          <w:t>RS305-1</w:t>
        </w:r>
      </w:hyperlink>
      <w:r>
        <w:t xml:space="preserve">, </w:t>
      </w:r>
      <w:hyperlink r:id="rId8" w:history="1">
        <w:r w:rsidRPr="00A433C1">
          <w:rPr>
            <w:rStyle w:val="Hyperlink"/>
          </w:rPr>
          <w:t>RR305-11</w:t>
        </w:r>
      </w:hyperlink>
      <w:r>
        <w:t>): Complexity, defined as the interrelatedness of project attributes and interfaces, significantly impacts project outcomes. The Construction Industry Institute (CII) developed tools like the Project Complexity and Management (PCAM) Tool to measure complexity and strategize its management. Complexity is often indirectly linked to performance, emphasizing the need for teams to identify, assess, and respond to complexity indicators proactively.</w:t>
      </w:r>
    </w:p>
    <w:p w14:paraId="41713619" w14:textId="62A65D64" w:rsidR="00E4104F" w:rsidRDefault="00E4104F" w:rsidP="00E4104F">
      <w:pPr>
        <w:pStyle w:val="NormalWeb"/>
        <w:numPr>
          <w:ilvl w:val="0"/>
          <w:numId w:val="7"/>
        </w:numPr>
      </w:pPr>
      <w:r>
        <w:rPr>
          <w:rStyle w:val="Strong"/>
          <w:rFonts w:eastAsiaTheme="majorEastAsia"/>
        </w:rPr>
        <w:t>International Project Risk Management</w:t>
      </w:r>
      <w:r>
        <w:t xml:space="preserve"> (</w:t>
      </w:r>
      <w:hyperlink r:id="rId9" w:history="1">
        <w:r w:rsidRPr="00A433C1">
          <w:rPr>
            <w:rStyle w:val="Hyperlink"/>
          </w:rPr>
          <w:t>RS181-1</w:t>
        </w:r>
      </w:hyperlink>
      <w:r>
        <w:t xml:space="preserve">, </w:t>
      </w:r>
      <w:hyperlink r:id="rId10" w:history="1">
        <w:r w:rsidRPr="00A433C1">
          <w:rPr>
            <w:rStyle w:val="Hyperlink"/>
          </w:rPr>
          <w:t>EM181-21</w:t>
        </w:r>
      </w:hyperlink>
      <w:r>
        <w:t xml:space="preserve">, </w:t>
      </w:r>
      <w:hyperlink r:id="rId11" w:history="1">
        <w:r w:rsidRPr="00A433C1">
          <w:rPr>
            <w:rStyle w:val="Hyperlink"/>
          </w:rPr>
          <w:t>EM181-21A</w:t>
        </w:r>
      </w:hyperlink>
      <w:r>
        <w:t xml:space="preserve">, </w:t>
      </w:r>
      <w:hyperlink r:id="rId12" w:history="1">
        <w:r w:rsidRPr="00A433C1">
          <w:rPr>
            <w:rStyle w:val="Hyperlink"/>
          </w:rPr>
          <w:t>RR181-11</w:t>
        </w:r>
      </w:hyperlink>
      <w:r>
        <w:t>): International projects pose unique risks that require structured processes, such as the International Project Risk Assessment (IPRA) tool. Effective risk assessment for international projects involves consistent evaluation throughout the project lifecycle, addressing jurisdiction-specific challenges, and enabling better cost and schedule performance.</w:t>
      </w:r>
    </w:p>
    <w:p w14:paraId="2F353712" w14:textId="2959680C" w:rsidR="00E4104F" w:rsidRDefault="00E4104F" w:rsidP="00E4104F">
      <w:pPr>
        <w:pStyle w:val="NormalWeb"/>
        <w:numPr>
          <w:ilvl w:val="0"/>
          <w:numId w:val="7"/>
        </w:numPr>
      </w:pPr>
      <w:r>
        <w:rPr>
          <w:rStyle w:val="Strong"/>
          <w:rFonts w:eastAsiaTheme="majorEastAsia"/>
        </w:rPr>
        <w:t>Probabilistic Risk Management</w:t>
      </w:r>
      <w:r>
        <w:t xml:space="preserve"> (</w:t>
      </w:r>
      <w:hyperlink r:id="rId13" w:history="1">
        <w:r w:rsidRPr="00A433C1">
          <w:rPr>
            <w:rStyle w:val="Hyperlink"/>
          </w:rPr>
          <w:t>RS280-1</w:t>
        </w:r>
      </w:hyperlink>
      <w:r>
        <w:t xml:space="preserve">, </w:t>
      </w:r>
      <w:hyperlink r:id="rId14" w:history="1">
        <w:r w:rsidRPr="00A433C1">
          <w:rPr>
            <w:rStyle w:val="Hyperlink"/>
          </w:rPr>
          <w:t>RR280-11</w:t>
        </w:r>
      </w:hyperlink>
      <w:r>
        <w:t>): Incorporating probabilistic approaches into risk management provides enhanced insights into cost and schedule uncertainties. Tools like Monte Carlo simulations and probabilistic risk registers enable a deeper understanding of risk scenarios, fostering better contingency planning and decision-making.</w:t>
      </w:r>
    </w:p>
    <w:p w14:paraId="278E8D26" w14:textId="72189D86" w:rsidR="00E4104F" w:rsidRDefault="00E4104F" w:rsidP="00E4104F">
      <w:pPr>
        <w:pStyle w:val="NormalWeb"/>
        <w:numPr>
          <w:ilvl w:val="0"/>
          <w:numId w:val="7"/>
        </w:numPr>
      </w:pPr>
      <w:r>
        <w:rPr>
          <w:rStyle w:val="Strong"/>
          <w:rFonts w:eastAsiaTheme="majorEastAsia"/>
        </w:rPr>
        <w:t>Practical and Proactive Risk Management</w:t>
      </w:r>
      <w:r>
        <w:t xml:space="preserve"> (</w:t>
      </w:r>
      <w:hyperlink r:id="rId15" w:history="1">
        <w:r w:rsidRPr="0091644B">
          <w:rPr>
            <w:rStyle w:val="Hyperlink"/>
          </w:rPr>
          <w:t>SP181-3</w:t>
        </w:r>
      </w:hyperlink>
      <w:r>
        <w:t>): A proactive approach to risk management integrates decades of research on risk processes and tools. Key strategies include establishing a shared lexicon for risk, promoting collaboration, and using decision-making frameworks to improve risk-based actions across organizations.</w:t>
      </w:r>
    </w:p>
    <w:p w14:paraId="22C9BBF4" w14:textId="5D001C1C" w:rsidR="00E4104F" w:rsidRDefault="00E4104F" w:rsidP="00E4104F">
      <w:pPr>
        <w:pStyle w:val="NormalWeb"/>
        <w:numPr>
          <w:ilvl w:val="0"/>
          <w:numId w:val="7"/>
        </w:numPr>
      </w:pPr>
      <w:r>
        <w:rPr>
          <w:rStyle w:val="Strong"/>
          <w:rFonts w:eastAsiaTheme="majorEastAsia"/>
        </w:rPr>
        <w:t>Equitable Risk Allocation</w:t>
      </w:r>
      <w:r>
        <w:t xml:space="preserve"> (</w:t>
      </w:r>
      <w:hyperlink r:id="rId16" w:history="1">
        <w:r w:rsidRPr="0091644B">
          <w:rPr>
            <w:rStyle w:val="Hyperlink"/>
          </w:rPr>
          <w:t>R</w:t>
        </w:r>
        <w:r w:rsidR="0091644B" w:rsidRPr="0091644B">
          <w:rPr>
            <w:rStyle w:val="Hyperlink"/>
            <w:rFonts w:eastAsiaTheme="minorEastAsia" w:hint="eastAsia"/>
          </w:rPr>
          <w:t>S</w:t>
        </w:r>
        <w:r w:rsidRPr="0091644B">
          <w:rPr>
            <w:rStyle w:val="Hyperlink"/>
          </w:rPr>
          <w:t>210</w:t>
        </w:r>
        <w:r w:rsidR="0091644B" w:rsidRPr="0091644B">
          <w:rPr>
            <w:rStyle w:val="Hyperlink"/>
            <w:rFonts w:eastAsiaTheme="minorEastAsia" w:hint="eastAsia"/>
          </w:rPr>
          <w:t>-1</w:t>
        </w:r>
      </w:hyperlink>
      <w:r>
        <w:t>): Risk allocation frameworks emphasize balanced distribution of risks to the parties best equipped to manage them, minimizing disputes and fostering cooperative contract environments. Tools such as decision trees, risk assessment worksheets, and legal guidance support fair and systematic risk allocation.</w:t>
      </w:r>
    </w:p>
    <w:p w14:paraId="303C4E9E" w14:textId="5A8E2D51" w:rsidR="00E4104F" w:rsidRDefault="00E4104F" w:rsidP="00E4104F">
      <w:pPr>
        <w:pStyle w:val="NormalWeb"/>
        <w:numPr>
          <w:ilvl w:val="0"/>
          <w:numId w:val="7"/>
        </w:numPr>
      </w:pPr>
      <w:r>
        <w:rPr>
          <w:rStyle w:val="Strong"/>
          <w:rFonts w:eastAsiaTheme="majorEastAsia"/>
        </w:rPr>
        <w:t>Front-End Planning and Transition Management</w:t>
      </w:r>
      <w:r>
        <w:t xml:space="preserve"> (</w:t>
      </w:r>
      <w:hyperlink r:id="rId17" w:history="1">
        <w:r w:rsidRPr="0091644B">
          <w:rPr>
            <w:rStyle w:val="Hyperlink"/>
          </w:rPr>
          <w:t>R</w:t>
        </w:r>
        <w:r w:rsidR="0091644B" w:rsidRPr="0091644B">
          <w:rPr>
            <w:rStyle w:val="Hyperlink"/>
            <w:rFonts w:eastAsiaTheme="minorEastAsia" w:hint="eastAsia"/>
          </w:rPr>
          <w:t>S</w:t>
        </w:r>
        <w:r w:rsidRPr="0091644B">
          <w:rPr>
            <w:rStyle w:val="Hyperlink"/>
          </w:rPr>
          <w:t>213</w:t>
        </w:r>
        <w:r w:rsidR="0091644B" w:rsidRPr="0091644B">
          <w:rPr>
            <w:rStyle w:val="Hyperlink"/>
            <w:rFonts w:eastAsiaTheme="minorEastAsia" w:hint="eastAsia"/>
          </w:rPr>
          <w:t>-1</w:t>
        </w:r>
      </w:hyperlink>
      <w:r>
        <w:t xml:space="preserve">, </w:t>
      </w:r>
      <w:hyperlink r:id="rId18" w:history="1">
        <w:r w:rsidR="0091644B" w:rsidRPr="0091644B">
          <w:rPr>
            <w:rStyle w:val="Hyperlink"/>
            <w:rFonts w:eastAsiaTheme="minorEastAsia" w:hint="eastAsia"/>
          </w:rPr>
          <w:t>SP333-1</w:t>
        </w:r>
      </w:hyperlink>
      <w:r>
        <w:t>): Thorough planning and structured transitions between project phases mitigate risks related to commissioning and startup failures. Strategies include defining roles clearly, leveraging tools like RACI matrices, and conducting periodic reviews to address emerging "hot spots" in projects.</w:t>
      </w:r>
    </w:p>
    <w:p w14:paraId="14A0C81C" w14:textId="404AB07A" w:rsidR="00E4104F" w:rsidRDefault="00E4104F" w:rsidP="00E4104F">
      <w:pPr>
        <w:pStyle w:val="NormalWeb"/>
        <w:numPr>
          <w:ilvl w:val="0"/>
          <w:numId w:val="7"/>
        </w:numPr>
      </w:pPr>
      <w:r>
        <w:rPr>
          <w:rStyle w:val="Strong"/>
          <w:rFonts w:eastAsiaTheme="majorEastAsia"/>
        </w:rPr>
        <w:t>Comprehensive Risk Assessment for Capital Projects</w:t>
      </w:r>
      <w:r>
        <w:t xml:space="preserve"> (</w:t>
      </w:r>
      <w:hyperlink r:id="rId19" w:history="1">
        <w:r w:rsidR="0091644B" w:rsidRPr="00A433C1">
          <w:rPr>
            <w:rStyle w:val="Hyperlink"/>
          </w:rPr>
          <w:t>RS280-1</w:t>
        </w:r>
      </w:hyperlink>
      <w:r>
        <w:t>): The combination of deterministic and probabilistic approaches allows organizations to align risk strategies with project attributes. Advanced tools provide structured methods for risk identification, assessment, and mitigation across all project stages.</w:t>
      </w:r>
    </w:p>
    <w:p w14:paraId="7729A34D" w14:textId="77777777" w:rsidR="00E4104F" w:rsidRDefault="00E4104F" w:rsidP="00E4104F">
      <w:pPr>
        <w:pStyle w:val="NormalWeb"/>
      </w:pPr>
      <w:r>
        <w:t xml:space="preserve">The culmination of these research efforts underscores the importance of early, structured, and adaptive risk assessment and management processes. The application of tailored tools, </w:t>
      </w:r>
      <w:r>
        <w:lastRenderedPageBreak/>
        <w:t>frameworks, and collaborative strategies is crucial for mitigating risks, improving performance, and ensuring project success across industries.</w:t>
      </w:r>
    </w:p>
    <w:p w14:paraId="119858B7" w14:textId="09A010E3" w:rsidR="00D556E1" w:rsidRPr="002B50C7" w:rsidRDefault="00D556E1" w:rsidP="00E4104F">
      <w:pPr>
        <w:spacing w:before="100" w:beforeAutospacing="1" w:after="100" w:afterAutospacing="1" w:line="240" w:lineRule="auto"/>
      </w:pPr>
    </w:p>
    <w:sectPr w:rsidR="00D556E1" w:rsidRPr="002B50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8C6DC" w14:textId="77777777" w:rsidR="00416D70" w:rsidRDefault="00416D70" w:rsidP="009F6396">
      <w:pPr>
        <w:spacing w:after="0" w:line="240" w:lineRule="auto"/>
      </w:pPr>
      <w:r>
        <w:separator/>
      </w:r>
    </w:p>
  </w:endnote>
  <w:endnote w:type="continuationSeparator" w:id="0">
    <w:p w14:paraId="783ED10F" w14:textId="77777777" w:rsidR="00416D70" w:rsidRDefault="00416D70"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71541" w14:textId="77777777" w:rsidR="00416D70" w:rsidRDefault="00416D70" w:rsidP="009F6396">
      <w:pPr>
        <w:spacing w:after="0" w:line="240" w:lineRule="auto"/>
      </w:pPr>
      <w:r>
        <w:separator/>
      </w:r>
    </w:p>
  </w:footnote>
  <w:footnote w:type="continuationSeparator" w:id="0">
    <w:p w14:paraId="45A8D562" w14:textId="77777777" w:rsidR="00416D70" w:rsidRDefault="00416D70"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5409D"/>
    <w:multiLevelType w:val="multilevel"/>
    <w:tmpl w:val="12F6B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6"/>
  </w:num>
  <w:num w:numId="4" w16cid:durableId="642270163">
    <w:abstractNumId w:val="5"/>
  </w:num>
  <w:num w:numId="5" w16cid:durableId="147594471">
    <w:abstractNumId w:val="3"/>
  </w:num>
  <w:num w:numId="6" w16cid:durableId="1204832792">
    <w:abstractNumId w:val="4"/>
  </w:num>
  <w:num w:numId="7" w16cid:durableId="447966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8FAO3M82MtAAAA"/>
  </w:docVars>
  <w:rsids>
    <w:rsidRoot w:val="00B30BC0"/>
    <w:rsid w:val="000374DD"/>
    <w:rsid w:val="000A3FD2"/>
    <w:rsid w:val="000D3987"/>
    <w:rsid w:val="000F06EE"/>
    <w:rsid w:val="00110278"/>
    <w:rsid w:val="001214BC"/>
    <w:rsid w:val="001356E0"/>
    <w:rsid w:val="00174592"/>
    <w:rsid w:val="001A118C"/>
    <w:rsid w:val="001D39CC"/>
    <w:rsid w:val="001F4E9C"/>
    <w:rsid w:val="00222194"/>
    <w:rsid w:val="0023691A"/>
    <w:rsid w:val="00251733"/>
    <w:rsid w:val="0027452F"/>
    <w:rsid w:val="002B50C7"/>
    <w:rsid w:val="003A0542"/>
    <w:rsid w:val="003A0A11"/>
    <w:rsid w:val="003C41CC"/>
    <w:rsid w:val="003E0E68"/>
    <w:rsid w:val="00416D70"/>
    <w:rsid w:val="00484455"/>
    <w:rsid w:val="004D7476"/>
    <w:rsid w:val="004F7312"/>
    <w:rsid w:val="00504CF7"/>
    <w:rsid w:val="005366E5"/>
    <w:rsid w:val="00553CF5"/>
    <w:rsid w:val="005555A6"/>
    <w:rsid w:val="00576A3F"/>
    <w:rsid w:val="0067243C"/>
    <w:rsid w:val="006814FC"/>
    <w:rsid w:val="006E1419"/>
    <w:rsid w:val="006F4836"/>
    <w:rsid w:val="00724F7D"/>
    <w:rsid w:val="007769CE"/>
    <w:rsid w:val="007E13D2"/>
    <w:rsid w:val="007E2CBA"/>
    <w:rsid w:val="00814252"/>
    <w:rsid w:val="0088691D"/>
    <w:rsid w:val="008921B2"/>
    <w:rsid w:val="008E12CF"/>
    <w:rsid w:val="008F34F5"/>
    <w:rsid w:val="008F419F"/>
    <w:rsid w:val="0090696E"/>
    <w:rsid w:val="0091644B"/>
    <w:rsid w:val="00927630"/>
    <w:rsid w:val="00932096"/>
    <w:rsid w:val="00947E5F"/>
    <w:rsid w:val="00990B64"/>
    <w:rsid w:val="00996972"/>
    <w:rsid w:val="009A4F6B"/>
    <w:rsid w:val="009E1233"/>
    <w:rsid w:val="009E3CC9"/>
    <w:rsid w:val="009F6396"/>
    <w:rsid w:val="00A14A23"/>
    <w:rsid w:val="00A37ED8"/>
    <w:rsid w:val="00A433C1"/>
    <w:rsid w:val="00A445C7"/>
    <w:rsid w:val="00A6138A"/>
    <w:rsid w:val="00AC41AB"/>
    <w:rsid w:val="00AE50C0"/>
    <w:rsid w:val="00B01B3D"/>
    <w:rsid w:val="00B30BC0"/>
    <w:rsid w:val="00B32BE7"/>
    <w:rsid w:val="00B45B24"/>
    <w:rsid w:val="00B6013E"/>
    <w:rsid w:val="00B8592A"/>
    <w:rsid w:val="00BC24C2"/>
    <w:rsid w:val="00C223F9"/>
    <w:rsid w:val="00C62A84"/>
    <w:rsid w:val="00C8775D"/>
    <w:rsid w:val="00C87D93"/>
    <w:rsid w:val="00CE14D1"/>
    <w:rsid w:val="00D05012"/>
    <w:rsid w:val="00D370E9"/>
    <w:rsid w:val="00D556E1"/>
    <w:rsid w:val="00DB7A9E"/>
    <w:rsid w:val="00E26FF2"/>
    <w:rsid w:val="00E4104F"/>
    <w:rsid w:val="00E9148E"/>
    <w:rsid w:val="00EF6929"/>
    <w:rsid w:val="00F12E92"/>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A433C1"/>
    <w:rPr>
      <w:color w:val="467886" w:themeColor="hyperlink"/>
      <w:u w:val="single"/>
    </w:rPr>
  </w:style>
  <w:style w:type="character" w:styleId="UnresolvedMention">
    <w:name w:val="Unresolved Mention"/>
    <w:basedOn w:val="DefaultParagraphFont"/>
    <w:uiPriority w:val="99"/>
    <w:semiHidden/>
    <w:unhideWhenUsed/>
    <w:rsid w:val="00A4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32228244">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measuring-project-complexity-and-its-impact" TargetMode="External"/><Relationship Id="rId13" Type="http://schemas.openxmlformats.org/officeDocument/2006/relationships/hyperlink" Target="https://www.construction-institute.org/probabilistic-risk-management-in-design-and-construction-projects-version-1-1" TargetMode="External"/><Relationship Id="rId18" Type="http://schemas.openxmlformats.org/officeDocument/2006/relationships/hyperlink" Target="https://www.construction-institute.org/managing-transitions-between-construction-completion-pre-commissioning-commissioning-and-startu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truction-institute.org/a-new-approach-to-assessing-and-measuring-project-complexity" TargetMode="External"/><Relationship Id="rId12" Type="http://schemas.openxmlformats.org/officeDocument/2006/relationships/hyperlink" Target="https://www.construction-institute.org/development-of-the-international-project-risk-assessment-ipra-tool" TargetMode="External"/><Relationship Id="rId17" Type="http://schemas.openxmlformats.org/officeDocument/2006/relationships/hyperlink" Target="https://www.construction-institute.org/front-end-planning-break-the-rules-pay-the-price" TargetMode="External"/><Relationship Id="rId2" Type="http://schemas.openxmlformats.org/officeDocument/2006/relationships/styles" Target="styles.xml"/><Relationship Id="rId16" Type="http://schemas.openxmlformats.org/officeDocument/2006/relationships/hyperlink" Target="https://www.construction-institute.org/equitable-risk-allocatio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international-project-risk-assessment-and-the-ipra-participant-handbook"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ww.construction-institute.org/adding-value-through-a-practical-and-proactive-project-risk-management-process" TargetMode="External"/><Relationship Id="rId23" Type="http://schemas.openxmlformats.org/officeDocument/2006/relationships/customXml" Target="../customXml/item2.xml"/><Relationship Id="rId10" Type="http://schemas.openxmlformats.org/officeDocument/2006/relationships/hyperlink" Target="https://www.construction-institute.org/international-project-risk-assessment-and-the-ipra-instructor-s-guide" TargetMode="External"/><Relationship Id="rId19" Type="http://schemas.openxmlformats.org/officeDocument/2006/relationships/hyperlink" Target="https://www.construction-institute.org/probabilistic-risk-management-in-design-and-construction-projects-version-1-1" TargetMode="External"/><Relationship Id="rId4" Type="http://schemas.openxmlformats.org/officeDocument/2006/relationships/webSettings" Target="webSettings.xml"/><Relationship Id="rId9" Type="http://schemas.openxmlformats.org/officeDocument/2006/relationships/hyperlink" Target="https://www.construction-institute.org/risk-assessment-on-international-projects-a-management-approach" TargetMode="External"/><Relationship Id="rId14" Type="http://schemas.openxmlformats.org/officeDocument/2006/relationships/hyperlink" Target="https://www.construction-institute.org/applying-probabilistic-risk-management-in-design-and-construction-projects" TargetMode="Externa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CF23AD2C-0990-4680-9113-BA7A2F89CACD}"/>
</file>

<file path=customXml/itemProps2.xml><?xml version="1.0" encoding="utf-8"?>
<ds:datastoreItem xmlns:ds="http://schemas.openxmlformats.org/officeDocument/2006/customXml" ds:itemID="{63F6E82E-1155-4141-B927-9C925D38EAB8}"/>
</file>

<file path=customXml/itemProps3.xml><?xml version="1.0" encoding="utf-8"?>
<ds:datastoreItem xmlns:ds="http://schemas.openxmlformats.org/officeDocument/2006/customXml" ds:itemID="{F044CFF8-6B83-4865-9C21-86E41CB66150}"/>
</file>

<file path=docProps/app.xml><?xml version="1.0" encoding="utf-8"?>
<Properties xmlns="http://schemas.openxmlformats.org/officeDocument/2006/extended-properties" xmlns:vt="http://schemas.openxmlformats.org/officeDocument/2006/docPropsVTypes">
  <Template>Normal</Template>
  <TotalTime>20</TotalTime>
  <Pages>2</Pages>
  <Words>605</Words>
  <Characters>4256</Characters>
  <Application>Microsoft Office Word</Application>
  <DocSecurity>0</DocSecurity>
  <Lines>64</Lines>
  <Paragraphs>18</Paragraphs>
  <ScaleCrop>false</ScaleCrop>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41</cp:revision>
  <dcterms:created xsi:type="dcterms:W3CDTF">2024-11-05T22:07:00Z</dcterms:created>
  <dcterms:modified xsi:type="dcterms:W3CDTF">2025-02-22T19:28:00Z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c97b601021ffff4ad100530c33a41b555e4753001193671a46568941944db21c</vt:lpwstr>
  </property>
  <property fmtid="{D5CDD505-2E9C-101B-9397-08002B2CF9AE}" pid="3" name="ContentTypeId">
    <vt:lpwstr>0x0101001F56B6FB67BA7344822A4C8A67F56F7F</vt:lpwstr>
  </property>
</Properties>
</file>